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560" w:lineRule="atLeast"/>
        <w:jc w:val="center"/>
        <w:rPr>
          <w:rFonts w:hint="eastAsia" w:ascii="方正小标宋简体" w:hAnsi="Times New Roman" w:eastAsia="方正小标宋简体"/>
          <w:b w:val="0"/>
          <w:bCs/>
          <w:sz w:val="36"/>
          <w:szCs w:val="36"/>
          <w:lang w:eastAsia="zh-CN"/>
        </w:rPr>
      </w:pPr>
      <w:r>
        <w:rPr>
          <w:rFonts w:hint="eastAsia" w:ascii="方正小标宋简体" w:hAnsi="黑体" w:eastAsia="方正小标宋简体"/>
          <w:b w:val="0"/>
          <w:bCs/>
          <w:sz w:val="36"/>
          <w:szCs w:val="36"/>
        </w:rPr>
        <w:t xml:space="preserve"> 山东华宇工学院</w:t>
      </w:r>
      <w:r>
        <w:rPr>
          <w:rFonts w:hint="eastAsia" w:ascii="方正小标宋简体" w:hAnsi="黑体" w:eastAsia="方正小标宋简体"/>
          <w:b w:val="0"/>
          <w:bCs/>
          <w:sz w:val="36"/>
          <w:szCs w:val="36"/>
          <w:lang w:val="en-US" w:eastAsia="zh-CN"/>
        </w:rPr>
        <w:t>XX</w:t>
      </w:r>
      <w:r>
        <w:rPr>
          <w:rFonts w:hint="eastAsia" w:ascii="方正小标宋简体" w:hAnsi="黑体" w:eastAsia="方正小标宋简体"/>
          <w:b w:val="0"/>
          <w:bCs/>
          <w:sz w:val="36"/>
          <w:szCs w:val="36"/>
        </w:rPr>
        <w:t>专业</w:t>
      </w:r>
      <w:r>
        <w:rPr>
          <w:rFonts w:hint="eastAsia" w:ascii="方正小标宋简体" w:hAnsi="黑体" w:eastAsia="方正小标宋简体"/>
          <w:b w:val="0"/>
          <w:bCs/>
          <w:sz w:val="36"/>
          <w:szCs w:val="36"/>
          <w:lang w:eastAsia="zh-CN"/>
        </w:rPr>
        <w:t>达标</w:t>
      </w:r>
      <w:r>
        <w:rPr>
          <w:rFonts w:hint="eastAsia" w:ascii="方正小标宋简体" w:hAnsi="黑体" w:eastAsia="方正小标宋简体"/>
          <w:b w:val="0"/>
          <w:bCs/>
          <w:sz w:val="36"/>
          <w:szCs w:val="36"/>
        </w:rPr>
        <w:t>建设</w:t>
      </w:r>
      <w:r>
        <w:rPr>
          <w:rFonts w:hint="eastAsia" w:ascii="方正小标宋简体" w:hAnsi="黑体" w:eastAsia="方正小标宋简体"/>
          <w:b w:val="0"/>
          <w:bCs/>
          <w:sz w:val="36"/>
          <w:szCs w:val="36"/>
          <w:lang w:eastAsia="zh-CN"/>
        </w:rPr>
        <w:t>自查表</w:t>
      </w:r>
    </w:p>
    <w:tbl>
      <w:tblPr>
        <w:tblStyle w:val="4"/>
        <w:tblW w:w="14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66"/>
        <w:gridCol w:w="1567"/>
        <w:gridCol w:w="3900"/>
        <w:gridCol w:w="3717"/>
        <w:gridCol w:w="833"/>
        <w:gridCol w:w="1117"/>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trPr>
        <w:tc>
          <w:tcPr>
            <w:tcW w:w="789"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一</w:t>
            </w:r>
            <w:bookmarkStart w:id="0" w:name="_GoBack"/>
            <w:bookmarkEnd w:id="0"/>
            <w:r>
              <w:rPr>
                <w:rFonts w:hint="eastAsia" w:ascii="仿宋" w:hAnsi="仿宋" w:eastAsia="仿宋" w:cs="仿宋"/>
                <w:b w:val="0"/>
                <w:bCs/>
                <w:sz w:val="24"/>
                <w:szCs w:val="24"/>
              </w:rPr>
              <w:t>级指标</w:t>
            </w: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二级指标</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主要观测点</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基本要求</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检查材料</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是否达标</w:t>
            </w: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未达标</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eastAsia="zh-CN"/>
              </w:rPr>
              <w:t>原因</w:t>
            </w: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lang w:eastAsia="zh-CN"/>
              </w:rPr>
            </w:pPr>
            <w:r>
              <w:rPr>
                <w:rFonts w:hint="eastAsia" w:ascii="仿宋" w:hAnsi="仿宋" w:eastAsia="仿宋" w:cs="仿宋"/>
                <w:b w:val="0"/>
                <w:bCs/>
                <w:sz w:val="24"/>
                <w:szCs w:val="24"/>
                <w:lang w:val="en-US" w:eastAsia="zh-CN"/>
              </w:rPr>
              <w:t>存在的困难或需要学校提供的支持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1.专业定位与规划</w:t>
            </w: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1.1专业定位</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人才培养定位</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专业人才培养目标符合学校发展目标和定位，与区域经济社会发展或行业发展需求相吻合。</w:t>
            </w:r>
          </w:p>
        </w:tc>
        <w:tc>
          <w:tcPr>
            <w:tcW w:w="37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查看各专业人才培养目标。</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sz w:val="24"/>
                <w:szCs w:val="24"/>
              </w:rPr>
            </w:pP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rPr>
            </w:pP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1.2专业建设规划</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规划与执行</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专业建设规划明确，可操作性强，执行情况良好。</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1.查看专业建设规划及执行情况。</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2.与专业带头（负责）人、任课教师座谈。</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1.3人才培养方案</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人才培养方案制定</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定位体现德、智、体、美、劳全面发展的要求；有企业行业专家参与制定（修订）人才培养方案；构建了培养应用型人才课程体系，科学合理可行，各类课程和实践教学比例符合要求；把创新创业教育融入人才培养体系，开设相应必修课程和选修课程。</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color w:val="000000"/>
                <w:kern w:val="0"/>
                <w:sz w:val="24"/>
                <w:szCs w:val="24"/>
                <w:lang w:val="en-US" w:eastAsia="zh-CN" w:bidi="ar"/>
              </w:rPr>
              <w:t>1</w:t>
            </w:r>
            <w:r>
              <w:rPr>
                <w:rFonts w:hint="eastAsia" w:ascii="仿宋" w:hAnsi="仿宋" w:eastAsia="仿宋" w:cs="仿宋"/>
                <w:b w:val="0"/>
                <w:bCs/>
                <w:sz w:val="24"/>
                <w:szCs w:val="24"/>
                <w:lang w:val="en-US" w:eastAsia="zh-CN"/>
              </w:rPr>
              <w:t>.查看制定（修订）人才培养方案过程性材料。</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2.查看专业人才培养方案。</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3.查看各类课程和实践教学比例。</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4.查看创新创业教育课程开设情况。</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人才培养方案执行</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人才培养方案执行严格，管理规范。</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1.查看人才培养方案执行情况。</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2.查看人才培养方案异动情况。</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2.教师队伍</w:t>
            </w: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2.1专业带头人</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专业带头（负责）人配备</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配备1名具有高级专业技术职务、在专业领域有影响力的专业带头（负责）人，认真开展专业建设，履行职责情况好。</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1.查看专业带头（负责）人基本信息。</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2.查看专业带头（负责）人履行职责情况。</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2.2数量与结构</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生师比</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专业教师数量基本满足本专业教学需要，专任教师生师比不超过 22:1。</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1.查看专任教师名册、学生名册和专业生师比。</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2.查看近三学年本专业教师教学工作量统计表。</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队伍结构</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任教师中具有硕士学位、博士学位的比例≥50%；在编主讲教师中有90%以上具有讲师及以上专业技术职务或具有硕士及以上学位；专任教师中具有高级职称的比例不低于30%，年龄结构合理，中青年教师为教师队伍的主体；本专业教师中“双师型”教师不低于20%。</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1.查看具有硕、博学位的专任教师名册及占比。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2.查看主讲教师情况。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3.查看高级职称专任教师名册及占比。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4.查看专任教师年龄结构。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5.查看“双师型”教师名册及占比。 </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2.3培养培训</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岗前培训</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教师全部通过高校教师岗前培训，并取得高等学校教师岗前培训考试合格证。</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1.查看教师的教师资格证。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2.查看教师获取岗前培训考试合格证书情况。</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教师培养</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有计划地开展教学团队建设等工作；有提高教师教学水平和能力的具体措施，有加强教师专业职业资格和任职经历培养的措施，效果较好；重视青年教师培训和发展，有规划、有措施、有实效。</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1.查看教学团队建设情况。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2.查看提高教师教学水平和能力的具体措施及成效。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3.查看加强教师专业职业资格和任职经历培养的 措施及成效。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4.查看青年教师培训和发展的规划、措施及成效。</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2.4教育教学水平</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师德水平</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教师履行岗位职责，教书育人，从严执教，为人师表，严谨治学，遵守学术道德规范；严格执行师德考核一票否决制。</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1.深入课堂听课。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2.查看教师教学事故记录表。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注：近三年来本专业教师有教学事故或学术不端行为不能认定此观测点达标。 </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教学水平</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教师的课堂教学、实践指导总体上能满足人才培养目标的要求，教学效果较好，学生基本满意。</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1.深入课堂听课（理论教学课和实践教学课）。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2.查看近三年校院督导评教原始材料、同行专家评教统计表及原始材料、学生对该专业课程评教的原始数据和佐证材料（标准中的“合格”相当于听评课中的“中等”）。</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教科研水平</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教师至少满足以下四项中的两项：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①近三年主持省部级及以上教科研项目≥1项或校级、市厅级教科研项目≥3项；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②近三年公开发表D类论文≥3篇或C类≥1篇；</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③近三年有发明专利≥1项或实用新型专利≥3项；</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④近三年获校级及以上教科研成果奖励≥3项。</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查看教师近三年与该专业有关的教科研项目、论文、专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利、教材、专著及奖励情况。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2.5高级专业技术职务教师授课情况</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授课情况</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高级专业技术职务教师100%为本科生授课，且完成学校规定的最低工作量要求。</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1.查看本专业高级职称教师为本科生授课情况。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2.查看本专业高级职称教师课表及工作量统计表。</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3.教学条件与利用</w:t>
            </w: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3.1实验室、实习场所</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实验室建设与利用</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有实验室建设规划；实验室、实训场所及其设施满足本专业教学需要，且利用率高。</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1.查看实验室建设规划、管理制度及有关文件是否健全。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2.查看实验室现场、仪器配备、管理人员配备、制度落实情况。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3.查看本专业实验室利用率。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4.咨询专业带头（负责）人实验室、实训场所及设施满足本专业教学需要及利用情况。 </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校外实习基地</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每个专业不低于3个稳定的校外实习实训基地，运行良好，满足本专业教学要求。</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1.查看校外实习实训基地一览表和协议书。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2.查看各专业实习教学大纲和实习指导书。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3.查看近两年学生实习实训统计表。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4.咨询专业带头（负责）人本专业校外实习实训基地及运行与满足教学情况。</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3.2图书资料</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专业图书</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专业图书文献种类和数量符合《普通高等学校本科类专业教学质量国家标准》要求。</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1.查看能够反映专业图书、文献和期刊种类和数量的相关材料。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2.现场考察资料室，查阅学生借还记录等。</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4.教学过程与管理</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4.1课程建设</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课程建设规划 </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有课程建设规划，建设目标明确，措施可行，且执行情况良好。</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1.查看课程建设规划。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2.查看课程建设落实情况佐证材料。</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网络教学资源建设及利用</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能有效利用网络课程资源或现代教学技术进行教学。</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1.查看本专业网络课程资源建设与利用情况。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2.查看有效利用现代信息化技术教学的支撑材料。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3.深入课堂听课。</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4.2教材建设</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教材建设与选用</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教材（含自编讲义、指导书）符合教学大纲要求。</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1.查看所选用教材与教学大纲的符合度。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2.查看教师自编教材、讲义、指导书。</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4.3教学改革</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课堂教学改革</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 xml:space="preserve">积极开展教学内容、教学方法、教学手段以及考核评价等方面教学改革。 </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1.查看进行教学内容、教学方法、教学手段、考核评价改革的课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程一览表、改革综述及佐证材料。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2.深入课堂听课。 </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教改项目</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近三年主持教改项目的教师比例达30%，参与教改项目的教师比例达100%。</w:t>
            </w:r>
          </w:p>
        </w:tc>
        <w:tc>
          <w:tcPr>
            <w:tcW w:w="3717"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 xml:space="preserve">查看教师主持及参与本专业有关的教改项目统计表及比例。 </w:t>
            </w:r>
          </w:p>
        </w:tc>
        <w:tc>
          <w:tcPr>
            <w:tcW w:w="833"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11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218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4.4实践教学</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实验教学</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有实践教学大纲、有一定数量的综合性、设计性、创新性实验；</w:t>
            </w:r>
            <w:r>
              <w:rPr>
                <w:rFonts w:hint="eastAsia" w:ascii="仿宋" w:hAnsi="仿宋" w:eastAsia="仿宋" w:cs="仿宋"/>
                <w:b w:val="0"/>
                <w:bCs/>
                <w:sz w:val="24"/>
                <w:szCs w:val="24"/>
                <w:lang w:eastAsia="zh-CN"/>
              </w:rPr>
              <w:t>实验分组安排合理；有开放性</w:t>
            </w:r>
            <w:r>
              <w:rPr>
                <w:rFonts w:hint="eastAsia" w:ascii="仿宋" w:hAnsi="仿宋" w:eastAsia="仿宋" w:cs="仿宋"/>
                <w:b w:val="0"/>
                <w:bCs/>
                <w:sz w:val="24"/>
                <w:szCs w:val="24"/>
              </w:rPr>
              <w:t>实验室；实验教学效果较好。</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1.查看实验教学大纲、指导书。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2.查看综合性、设计性、创新性实验开出数量及所占实验课程总数的比例。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3.查看学生实验分组情况。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4.查看实验室开放情况。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5.查看学生实验报告及成绩评定情况</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实习实训</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能与企事业单位紧密合作开展实习实训，时间有保证，教师指导到位，</w:t>
            </w:r>
            <w:r>
              <w:rPr>
                <w:rFonts w:hint="eastAsia" w:ascii="仿宋" w:hAnsi="仿宋" w:eastAsia="仿宋" w:cs="仿宋"/>
                <w:b w:val="0"/>
                <w:bCs/>
                <w:sz w:val="24"/>
                <w:szCs w:val="24"/>
                <w:lang w:eastAsia="zh-CN"/>
              </w:rPr>
              <w:t>实习</w:t>
            </w:r>
            <w:r>
              <w:rPr>
                <w:rFonts w:hint="eastAsia" w:ascii="仿宋" w:hAnsi="仿宋" w:eastAsia="仿宋" w:cs="仿宋"/>
                <w:b w:val="0"/>
                <w:bCs/>
                <w:sz w:val="24"/>
                <w:szCs w:val="24"/>
              </w:rPr>
              <w:t>实训考核方法科学，效果较好。</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1.查看本科专业实习实训大纲、指导书及实习实训情况统计表。 2.查看近两学年各本科专业实习实训实施情况（含计划、指导教师安排、指导记录、报告、成绩、总结等）。 3.查看近三年专业实习实训指导教师一览表。 4.近两学年实习实训环节考核标准及考核情况。 5.近两年实习实训效果评价。</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毕业设计（论文）</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选题紧密结合生产和社会实际，难度、工作量适当，体现专业综合训练要求；有50%以上毕业论文（设计）</w:t>
            </w:r>
            <w:r>
              <w:rPr>
                <w:rFonts w:hint="eastAsia" w:ascii="仿宋" w:hAnsi="仿宋" w:eastAsia="仿宋" w:cs="仿宋"/>
                <w:b w:val="0"/>
                <w:bCs/>
                <w:sz w:val="24"/>
                <w:szCs w:val="24"/>
                <w:lang w:eastAsia="zh-CN"/>
              </w:rPr>
              <w:t>在</w:t>
            </w:r>
            <w:r>
              <w:rPr>
                <w:rFonts w:hint="eastAsia" w:ascii="仿宋" w:hAnsi="仿宋" w:eastAsia="仿宋" w:cs="仿宋"/>
                <w:b w:val="0"/>
                <w:bCs/>
                <w:sz w:val="24"/>
                <w:szCs w:val="24"/>
              </w:rPr>
              <w:t>实验、实习、工程实践和社会调查等社会实践</w:t>
            </w:r>
            <w:r>
              <w:rPr>
                <w:rFonts w:hint="eastAsia" w:ascii="仿宋" w:hAnsi="仿宋" w:eastAsia="仿宋" w:cs="仿宋"/>
                <w:b w:val="0"/>
                <w:bCs/>
                <w:sz w:val="24"/>
                <w:szCs w:val="24"/>
                <w:lang w:eastAsia="zh-CN"/>
              </w:rPr>
              <w:t>中完成</w:t>
            </w:r>
            <w:r>
              <w:rPr>
                <w:rFonts w:hint="eastAsia" w:ascii="仿宋" w:hAnsi="仿宋" w:eastAsia="仿宋" w:cs="仿宋"/>
                <w:b w:val="0"/>
                <w:bCs/>
                <w:sz w:val="24"/>
                <w:szCs w:val="24"/>
              </w:rPr>
              <w:t>；教师指导学生人数比例</w:t>
            </w:r>
            <w:r>
              <w:rPr>
                <w:rFonts w:hint="eastAsia" w:ascii="仿宋" w:hAnsi="仿宋" w:eastAsia="仿宋" w:cs="仿宋"/>
                <w:b w:val="0"/>
                <w:bCs/>
                <w:sz w:val="24"/>
                <w:szCs w:val="24"/>
                <w:lang w:eastAsia="zh-CN"/>
              </w:rPr>
              <w:t>不高于</w:t>
            </w:r>
            <w:r>
              <w:rPr>
                <w:rFonts w:hint="eastAsia" w:ascii="仿宋" w:hAnsi="仿宋" w:eastAsia="仿宋" w:cs="仿宋"/>
                <w:b w:val="0"/>
                <w:bCs/>
                <w:sz w:val="24"/>
                <w:szCs w:val="24"/>
                <w:lang w:val="en-US" w:eastAsia="zh-CN"/>
              </w:rPr>
              <w:t>1:8</w:t>
            </w:r>
            <w:r>
              <w:rPr>
                <w:rFonts w:hint="eastAsia" w:ascii="仿宋" w:hAnsi="仿宋" w:eastAsia="仿宋" w:cs="仿宋"/>
                <w:b w:val="0"/>
                <w:bCs/>
                <w:sz w:val="24"/>
                <w:szCs w:val="24"/>
              </w:rPr>
              <w:t>，指导选题规范，论文（设计）质量合格。</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1.查看近三年毕业设计（论文）结合生产和社会实际程度，难度、工作量、专业综合训练的分析。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2.查看近三年毕业设计（论文）选题情况统计表。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3.查看近三年毕业设计（论文）在实验、实习、工程实践和社会调查中完成情况统计表及所占比例。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4.查看近三年毕业设计（论文）过程管理材料。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5.查看近三年毕业设计（论文）指导教师情况一览表及比例。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6.查看学生毕业设计（论文）。</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4.5质量管理</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制度执行</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严格执行学校教学管理制度，效果较好。</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1.查看学校教学管理制度具体执行情况总结。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2.近两学年本专业学生考试违纪情况处理。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3.近两学年本专业教师教学事故处理情况。 </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4.6教学文件和档案管理</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教学文件</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课程教学大纲、授课计划、教案、试卷、毕业论文（设计）等教学文件齐全、规范。</w:t>
            </w:r>
          </w:p>
        </w:tc>
        <w:tc>
          <w:tcPr>
            <w:tcW w:w="37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 xml:space="preserve">查看课程教学大纲、授课计划、课程表等教学文件。 </w:t>
            </w:r>
          </w:p>
        </w:tc>
        <w:tc>
          <w:tcPr>
            <w:tcW w:w="833"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11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218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档案管理</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各类教学档案资料完整，整理规范，分类存档。</w:t>
            </w:r>
          </w:p>
        </w:tc>
        <w:tc>
          <w:tcPr>
            <w:tcW w:w="37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查看综合类、专业建设与课程改革、师资队伍、教学环节与督导、教学条件等各类教学档案的数量、整理及存档情况。</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trPr>
        <w:tc>
          <w:tcPr>
            <w:tcW w:w="789"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5.培养效果</w:t>
            </w: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5.1基本理论与基本技能</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课程考核</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考试内容符合教学大纲要求，考核能够体现学生专业能力水平。</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1.查看课程考核相关资料。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2.查看近三届学生课程考核统计分析。</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学科竞赛获奖</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本专业学生在校期间参加学科竞赛并获奖。</w:t>
            </w:r>
          </w:p>
        </w:tc>
        <w:tc>
          <w:tcPr>
            <w:tcW w:w="37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查看本专业学生在校期间参加各类创新、训练、学科竞赛获奖情况。</w:t>
            </w:r>
          </w:p>
        </w:tc>
        <w:tc>
          <w:tcPr>
            <w:tcW w:w="833"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11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218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创新创业训练</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本专业学生参加校级及以上创新创业训练项目不少于5项。</w:t>
            </w:r>
          </w:p>
        </w:tc>
        <w:tc>
          <w:tcPr>
            <w:tcW w:w="37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查看本专业学生参加校级及以上创新创业训练项目情况。</w:t>
            </w:r>
          </w:p>
        </w:tc>
        <w:tc>
          <w:tcPr>
            <w:tcW w:w="833"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11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218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restart"/>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5.2 就业状况</w:t>
            </w: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就业率</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应届毕业生的初次就业率≥90%。</w:t>
            </w:r>
          </w:p>
        </w:tc>
        <w:tc>
          <w:tcPr>
            <w:tcW w:w="3717" w:type="dxa"/>
            <w:vAlign w:val="bottom"/>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sz w:val="24"/>
                <w:szCs w:val="24"/>
              </w:rPr>
            </w:pPr>
            <w:r>
              <w:rPr>
                <w:rFonts w:hint="eastAsia" w:ascii="仿宋" w:hAnsi="仿宋" w:eastAsia="仿宋" w:cs="仿宋"/>
                <w:b w:val="0"/>
                <w:bCs/>
                <w:color w:val="000000"/>
                <w:kern w:val="0"/>
                <w:sz w:val="24"/>
                <w:szCs w:val="24"/>
                <w:lang w:val="en-US" w:eastAsia="zh-CN" w:bidi="ar"/>
              </w:rPr>
              <w:t>查看应届毕业生初次就业率统计表。</w:t>
            </w:r>
          </w:p>
        </w:tc>
        <w:tc>
          <w:tcPr>
            <w:tcW w:w="833"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1117"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c>
          <w:tcPr>
            <w:tcW w:w="2188" w:type="dxa"/>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仿宋" w:hAnsi="仿宋" w:eastAsia="仿宋" w:cs="仿宋"/>
                <w:b w:val="0"/>
                <w:bCs/>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trPr>
        <w:tc>
          <w:tcPr>
            <w:tcW w:w="789"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866" w:type="dxa"/>
            <w:vMerge w:val="continue"/>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p>
        </w:tc>
        <w:tc>
          <w:tcPr>
            <w:tcW w:w="156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专业对口率</w:t>
            </w:r>
          </w:p>
        </w:tc>
        <w:tc>
          <w:tcPr>
            <w:tcW w:w="3900"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毕业生就业岗位与所学专业相关性较高，专业对口（相关）率≥80%。</w:t>
            </w:r>
          </w:p>
        </w:tc>
        <w:tc>
          <w:tcPr>
            <w:tcW w:w="371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1.查看近三年毕业生就业质量分析报告。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 xml:space="preserve">2.查看用人单位对本专业毕业生就业岗位与所学专业相关性数 据统计及专业对口率统计。 </w:t>
            </w:r>
          </w:p>
        </w:tc>
        <w:tc>
          <w:tcPr>
            <w:tcW w:w="83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111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c>
          <w:tcPr>
            <w:tcW w:w="2188"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b w:val="0"/>
                <w:bCs/>
                <w:sz w:val="24"/>
                <w:szCs w:val="24"/>
              </w:rPr>
            </w:pPr>
          </w:p>
        </w:tc>
      </w:tr>
    </w:tbl>
    <w:p>
      <w:pPr>
        <w:rPr>
          <w:rFonts w:hint="eastAsia"/>
          <w:lang w:val="en-US" w:eastAsia="zh-CN"/>
        </w:rPr>
      </w:pPr>
    </w:p>
    <w:p>
      <w:pPr>
        <w:ind w:firstLine="560" w:firstLineChars="200"/>
        <w:rPr>
          <w:rFonts w:hint="default" w:eastAsia="微软雅黑"/>
          <w:lang w:val="en-US" w:eastAsia="zh-CN"/>
        </w:rPr>
      </w:pPr>
      <w:r>
        <w:rPr>
          <w:rFonts w:hint="eastAsia" w:ascii="仿宋" w:hAnsi="仿宋" w:eastAsia="仿宋" w:cs="仿宋"/>
          <w:sz w:val="28"/>
          <w:szCs w:val="28"/>
          <w:lang w:val="en-US" w:eastAsia="zh-CN"/>
        </w:rPr>
        <w:t xml:space="preserve">学院自查小组成员：                                                            学院院长：                 </w:t>
      </w:r>
      <w:r>
        <w:rPr>
          <w:rFonts w:hint="eastAsia"/>
          <w:lang w:val="en-US" w:eastAsia="zh-CN"/>
        </w:rPr>
        <w:t xml:space="preserve">                            </w:t>
      </w:r>
    </w:p>
    <w:sectPr>
      <w:footerReference r:id="rId3" w:type="default"/>
      <w:pgSz w:w="16838" w:h="11906" w:orient="landscape"/>
      <w:pgMar w:top="161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7FC0"/>
    <w:rsid w:val="00A8483B"/>
    <w:rsid w:val="05E547B2"/>
    <w:rsid w:val="244B6D8D"/>
    <w:rsid w:val="26A47FC0"/>
    <w:rsid w:val="44EE4CF5"/>
    <w:rsid w:val="4B622214"/>
    <w:rsid w:val="66DC67D0"/>
    <w:rsid w:val="6F9E2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2020-04-09T07:24:00Z</dcterms:created>
  <dc:creator>袁杰</dc:creator>
  <cp:lastModifiedBy>袁杰</cp:lastModifiedBy>
  <dcterms:modified xsi:type="dcterms:W3CDTF">2020-10-28T02:00:29Z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